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75CB77F4" w:rsidP="28D46B26" w:rsidRDefault="75CB77F4" w14:paraId="2ABFFABA" w14:textId="396553A5">
      <w:pPr>
        <w:pStyle w:val="Normal"/>
        <w:jc w:val="center"/>
      </w:pPr>
      <w:r w:rsidR="63C3E750">
        <w:drawing>
          <wp:inline wp14:editId="31A54A40" wp14:anchorId="6EC99FF8">
            <wp:extent cx="3742190" cy="592075"/>
            <wp:effectExtent l="0" t="0" r="0" b="0"/>
            <wp:docPr id="104038020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40380205" name=""/>
                    <pic:cNvPicPr/>
                  </pic:nvPicPr>
                  <pic:blipFill>
                    <a:blip xmlns:r="http://schemas.openxmlformats.org/officeDocument/2006/relationships" r:embed="rId82452180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2190" cy="59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8D46B26" wp14:paraId="711F90AC" wp14:textId="21966EE0">
      <w:pPr>
        <w:pStyle w:val="Title"/>
        <w:jc w:val="center"/>
        <w:rPr>
          <w:sz w:val="48"/>
          <w:szCs w:val="48"/>
        </w:rPr>
      </w:pPr>
    </w:p>
    <w:p xmlns:wp14="http://schemas.microsoft.com/office/word/2010/wordml" w:rsidP="28D46B26" wp14:paraId="7BEC5FC7" wp14:textId="1116C187">
      <w:pPr>
        <w:pStyle w:val="Title"/>
        <w:jc w:val="center"/>
      </w:pPr>
      <w:r w:rsidRPr="28D46B26" w:rsidR="67303F12">
        <w:rPr>
          <w:sz w:val="48"/>
          <w:szCs w:val="48"/>
        </w:rPr>
        <w:t xml:space="preserve">Guidance for </w:t>
      </w:r>
      <w:r w:rsidRPr="28D46B26" w:rsidR="164BA383">
        <w:rPr>
          <w:sz w:val="48"/>
          <w:szCs w:val="48"/>
        </w:rPr>
        <w:t>Creat</w:t>
      </w:r>
      <w:r w:rsidRPr="28D46B26" w:rsidR="590D31FC">
        <w:rPr>
          <w:sz w:val="48"/>
          <w:szCs w:val="48"/>
        </w:rPr>
        <w:t xml:space="preserve">ing a </w:t>
      </w:r>
    </w:p>
    <w:p xmlns:wp14="http://schemas.microsoft.com/office/word/2010/wordml" w:rsidP="28D46B26" wp14:paraId="5BEF4CD6" wp14:textId="2C4A650B">
      <w:pPr>
        <w:pStyle w:val="Title"/>
        <w:jc w:val="center"/>
        <w:rPr>
          <w:sz w:val="48"/>
          <w:szCs w:val="48"/>
        </w:rPr>
      </w:pPr>
      <w:r w:rsidRPr="28D46B26" w:rsidR="7129F7DA">
        <w:rPr>
          <w:sz w:val="48"/>
          <w:szCs w:val="48"/>
        </w:rPr>
        <w:t xml:space="preserve">Teaching-Related </w:t>
      </w:r>
      <w:r w:rsidRPr="28D46B26" w:rsidR="01E381B1">
        <w:rPr>
          <w:sz w:val="48"/>
          <w:szCs w:val="48"/>
        </w:rPr>
        <w:t>Communit</w:t>
      </w:r>
      <w:r w:rsidRPr="28D46B26" w:rsidR="49EF3065">
        <w:rPr>
          <w:sz w:val="48"/>
          <w:szCs w:val="48"/>
        </w:rPr>
        <w:t>y</w:t>
      </w:r>
      <w:r w:rsidRPr="28D46B26" w:rsidR="39E540FF">
        <w:rPr>
          <w:sz w:val="48"/>
          <w:szCs w:val="48"/>
        </w:rPr>
        <w:t xml:space="preserve"> </w:t>
      </w:r>
      <w:r w:rsidRPr="28D46B26" w:rsidR="01E381B1">
        <w:rPr>
          <w:sz w:val="48"/>
          <w:szCs w:val="48"/>
        </w:rPr>
        <w:t>of Practice</w:t>
      </w:r>
    </w:p>
    <w:p xmlns:wp14="http://schemas.microsoft.com/office/word/2010/wordml" w:rsidP="7FCAE5A6" wp14:paraId="7F72B3B1" wp14:textId="66C76CDB">
      <w:pPr>
        <w:pStyle w:val="Normal"/>
      </w:pPr>
    </w:p>
    <w:p xmlns:wp14="http://schemas.microsoft.com/office/word/2010/wordml" w:rsidP="7FCAE5A6" wp14:paraId="2206F451" wp14:noSpellErr="1" wp14:textId="76365007">
      <w:pPr>
        <w:pStyle w:val="Normal"/>
      </w:pPr>
      <w:r w:rsidR="70CF1D56">
        <w:rPr/>
        <w:t xml:space="preserve">Communities of practice are groups of instructors and staff </w:t>
      </w:r>
      <w:r w:rsidR="1BC99B58">
        <w:rPr/>
        <w:t xml:space="preserve">members </w:t>
      </w:r>
      <w:r w:rsidR="70CF1D56">
        <w:rPr/>
        <w:t xml:space="preserve">who </w:t>
      </w:r>
      <w:r w:rsidR="70CF1D56">
        <w:rPr/>
        <w:t xml:space="preserve">regularly </w:t>
      </w:r>
      <w:bookmarkStart w:name="_Int_WHxez3Xb" w:id="477750178"/>
      <w:r w:rsidR="0D2570AD">
        <w:rPr/>
        <w:t>meet for</w:t>
      </w:r>
      <w:bookmarkEnd w:id="477750178"/>
      <w:r w:rsidR="0D2570AD">
        <w:rPr/>
        <w:t xml:space="preserve"> </w:t>
      </w:r>
      <w:r w:rsidR="4EEAF351">
        <w:rPr/>
        <w:t>a</w:t>
      </w:r>
      <w:r w:rsidR="70CF1D56">
        <w:rPr/>
        <w:t xml:space="preserve"> common interest </w:t>
      </w:r>
      <w:r w:rsidR="1C25C88F">
        <w:rPr/>
        <w:t>and/</w:t>
      </w:r>
      <w:r w:rsidR="70CF1D56">
        <w:rPr/>
        <w:t>or as part of a cohort</w:t>
      </w:r>
      <w:r w:rsidR="3D58BAF4">
        <w:rPr/>
        <w:t xml:space="preserve"> [</w:t>
      </w:r>
      <w:r w:rsidR="0BDA5029">
        <w:rPr/>
        <w:t xml:space="preserve">see </w:t>
      </w:r>
      <w:r w:rsidR="11D4A059">
        <w:rPr/>
        <w:t xml:space="preserve">the </w:t>
      </w:r>
      <w:r w:rsidR="0BDA5029">
        <w:rPr/>
        <w:t xml:space="preserve">seminal work of Wenger et al. </w:t>
      </w:r>
      <w:r w:rsidR="2A79DAD6">
        <w:rPr/>
        <w:t xml:space="preserve">(2022) </w:t>
      </w:r>
      <w:r w:rsidR="754A2461">
        <w:rPr/>
        <w:t>a</w:t>
      </w:r>
      <w:r w:rsidR="0BDA5029">
        <w:rPr/>
        <w:t xml:space="preserve">nd </w:t>
      </w:r>
      <w:r w:rsidR="0BDA5029">
        <w:rPr/>
        <w:t>Co</w:t>
      </w:r>
      <w:r w:rsidR="719C0DD7">
        <w:rPr/>
        <w:t>x (2004)]</w:t>
      </w:r>
      <w:r w:rsidR="70CF1D56">
        <w:rPr/>
        <w:t xml:space="preserve">. These communities </w:t>
      </w:r>
      <w:r w:rsidR="2872991D">
        <w:rPr/>
        <w:t xml:space="preserve">can </w:t>
      </w:r>
      <w:r w:rsidR="04BCEC19">
        <w:rPr/>
        <w:t>lead to</w:t>
      </w:r>
      <w:r w:rsidR="0D64EFC0">
        <w:rPr/>
        <w:t xml:space="preserve"> </w:t>
      </w:r>
      <w:r w:rsidR="0D64EFC0">
        <w:rPr/>
        <w:t xml:space="preserve">shared and individual </w:t>
      </w:r>
      <w:r w:rsidR="54FFD874">
        <w:rPr/>
        <w:t xml:space="preserve">learning, </w:t>
      </w:r>
      <w:r w:rsidR="5C876C7C">
        <w:rPr/>
        <w:t xml:space="preserve">the </w:t>
      </w:r>
      <w:r w:rsidR="61A42FA5">
        <w:rPr/>
        <w:t>formation of</w:t>
      </w:r>
      <w:r w:rsidR="5C876C7C">
        <w:rPr/>
        <w:t xml:space="preserve"> </w:t>
      </w:r>
      <w:r w:rsidR="54FFD874">
        <w:rPr/>
        <w:t>new connections, discovery, resource sharing, peer mentorship, guidance, and collaboration.</w:t>
      </w:r>
      <w:r w:rsidR="2FF2B0CA">
        <w:rPr/>
        <w:t xml:space="preserve"> </w:t>
      </w:r>
    </w:p>
    <w:p xmlns:wp14="http://schemas.microsoft.com/office/word/2010/wordml" w:rsidP="7FCAE5A6" wp14:paraId="2C078E63" wp14:noSpellErr="1" wp14:textId="2C66A201">
      <w:pPr>
        <w:pStyle w:val="Normal"/>
      </w:pPr>
      <w:r w:rsidR="5CB74F67">
        <w:rPr/>
        <w:t xml:space="preserve">The institute can </w:t>
      </w:r>
      <w:r w:rsidR="66BEE562">
        <w:rPr/>
        <w:t>give advice</w:t>
      </w:r>
      <w:r w:rsidR="5CB74F67">
        <w:rPr/>
        <w:t xml:space="preserve"> and logistical support to communities of practice that focus on teaching.</w:t>
      </w:r>
      <w:r w:rsidR="43C205A5">
        <w:rPr/>
        <w:t xml:space="preserve"> This resource provides guidance for those wishing to form such a community. </w:t>
      </w:r>
    </w:p>
    <w:p w:rsidR="4036EDFA" w:rsidP="28D46B26" w:rsidRDefault="4036EDFA" w14:paraId="0F5407B1" w14:textId="1CD8DB7C">
      <w:pPr>
        <w:pStyle w:val="Heading1"/>
      </w:pPr>
      <w:r w:rsidR="4036EDFA">
        <w:rPr/>
        <w:t xml:space="preserve">Forming </w:t>
      </w:r>
      <w:r w:rsidR="711127D0">
        <w:rPr/>
        <w:t>the Community</w:t>
      </w:r>
    </w:p>
    <w:p w:rsidR="4036EDFA" w:rsidP="28D46B26" w:rsidRDefault="4036EDFA" w14:paraId="0843427F" w14:textId="61DF75B2">
      <w:pPr>
        <w:pStyle w:val="Normal"/>
      </w:pPr>
      <w:r w:rsidR="4036EDFA">
        <w:rPr/>
        <w:t xml:space="preserve">If you have an idea for a </w:t>
      </w:r>
      <w:r w:rsidR="4E3C625B">
        <w:rPr/>
        <w:t xml:space="preserve">teaching-related </w:t>
      </w:r>
      <w:r w:rsidR="4036EDFA">
        <w:rPr/>
        <w:t>community of practice that you w</w:t>
      </w:r>
      <w:r w:rsidR="0516AAF4">
        <w:rPr/>
        <w:t>ould like to launch</w:t>
      </w:r>
      <w:r w:rsidR="4036EDFA">
        <w:rPr/>
        <w:t xml:space="preserve">, </w:t>
      </w:r>
      <w:r w:rsidR="01B2D263">
        <w:rPr/>
        <w:t xml:space="preserve">contact us at </w:t>
      </w:r>
      <w:hyperlink r:id="R6f69d3afdf5a48ed">
        <w:r w:rsidRPr="28D46B26" w:rsidR="01B2D263">
          <w:rPr>
            <w:rStyle w:val="Hyperlink"/>
          </w:rPr>
          <w:t>TeachingInstitute@rutgers.edu</w:t>
        </w:r>
      </w:hyperlink>
      <w:r w:rsidR="01B2D263">
        <w:rPr/>
        <w:t xml:space="preserve"> to schedule a consultation</w:t>
      </w:r>
      <w:r w:rsidR="30CCC7D6">
        <w:rPr/>
        <w:t xml:space="preserve"> and we can provide guidance for</w:t>
      </w:r>
      <w:r w:rsidR="01B2D263">
        <w:rPr/>
        <w:t xml:space="preserve"> </w:t>
      </w:r>
      <w:r w:rsidR="0C947BD1">
        <w:rPr/>
        <w:t xml:space="preserve">these key </w:t>
      </w:r>
      <w:r w:rsidR="01B2D263">
        <w:rPr/>
        <w:t xml:space="preserve">actions: </w:t>
      </w:r>
    </w:p>
    <w:p w:rsidR="547E5B85" w:rsidP="28D46B26" w:rsidRDefault="547E5B85" w14:paraId="436B16BA" w14:textId="3B5470AB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/>
      </w:pPr>
      <w:r w:rsidRPr="28D46B26" w:rsidR="547E5B85">
        <w:rPr>
          <w:b w:val="1"/>
          <w:bCs w:val="1"/>
        </w:rPr>
        <w:t>Creat</w:t>
      </w:r>
      <w:r w:rsidRPr="28D46B26" w:rsidR="5AEF05C2">
        <w:rPr>
          <w:b w:val="1"/>
          <w:bCs w:val="1"/>
        </w:rPr>
        <w:t>ing</w:t>
      </w:r>
      <w:r w:rsidRPr="28D46B26" w:rsidR="01B2D263">
        <w:rPr>
          <w:b w:val="1"/>
          <w:bCs w:val="1"/>
        </w:rPr>
        <w:t xml:space="preserve"> a leadership structure</w:t>
      </w:r>
      <w:r w:rsidRPr="28D46B26" w:rsidR="425379F2">
        <w:rPr>
          <w:b w:val="1"/>
          <w:bCs w:val="1"/>
        </w:rPr>
        <w:t xml:space="preserve">: </w:t>
      </w:r>
      <w:r w:rsidR="01B2D263">
        <w:rPr/>
        <w:t>We recommend having at least two co-lead</w:t>
      </w:r>
      <w:r w:rsidR="22311CA1">
        <w:rPr/>
        <w:t>ers</w:t>
      </w:r>
      <w:r w:rsidR="01B2D263">
        <w:rPr/>
        <w:t xml:space="preserve"> who will</w:t>
      </w:r>
      <w:r w:rsidR="01B2D263">
        <w:rPr/>
        <w:t xml:space="preserve"> support session facilitati</w:t>
      </w:r>
      <w:r w:rsidR="1C932B61">
        <w:rPr/>
        <w:t xml:space="preserve">on and/or coordination. </w:t>
      </w:r>
      <w:r w:rsidR="1D0E822B">
        <w:rPr/>
        <w:t>For continuity,</w:t>
      </w:r>
      <w:r w:rsidR="398B9E91">
        <w:rPr/>
        <w:t xml:space="preserve"> </w:t>
      </w:r>
      <w:r w:rsidR="3ABEF9A0">
        <w:rPr/>
        <w:t xml:space="preserve">we also recommend </w:t>
      </w:r>
      <w:r w:rsidR="398B9E91">
        <w:rPr/>
        <w:t>creat</w:t>
      </w:r>
      <w:r w:rsidR="0236CF20">
        <w:rPr/>
        <w:t xml:space="preserve">ing </w:t>
      </w:r>
      <w:r w:rsidR="398B9E91">
        <w:rPr/>
        <w:t xml:space="preserve">a succession </w:t>
      </w:r>
      <w:r w:rsidR="0D937B86">
        <w:rPr/>
        <w:t>plan,</w:t>
      </w:r>
      <w:r w:rsidR="398B9E91">
        <w:rPr/>
        <w:t xml:space="preserve"> such as selecting new lead</w:t>
      </w:r>
      <w:r w:rsidR="0FB3929C">
        <w:rPr/>
        <w:t>ers</w:t>
      </w:r>
      <w:r w:rsidR="398B9E91">
        <w:rPr/>
        <w:t xml:space="preserve"> </w:t>
      </w:r>
      <w:r w:rsidR="5AB74884">
        <w:rPr/>
        <w:t xml:space="preserve">for </w:t>
      </w:r>
      <w:r w:rsidR="398B9E91">
        <w:rPr/>
        <w:t xml:space="preserve">each </w:t>
      </w:r>
      <w:r w:rsidR="6DCA8B6D">
        <w:rPr/>
        <w:t>academic</w:t>
      </w:r>
      <w:r w:rsidR="398B9E91">
        <w:rPr/>
        <w:t xml:space="preserve"> year</w:t>
      </w:r>
      <w:r w:rsidR="398B9E91">
        <w:rPr/>
        <w:t>.</w:t>
      </w:r>
    </w:p>
    <w:p w:rsidR="28D46B26" w:rsidP="28D46B26" w:rsidRDefault="28D46B26" w14:paraId="7280A76E" w14:textId="74249E8D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</w:pPr>
    </w:p>
    <w:p w:rsidR="4A8E49AD" w:rsidP="28D46B26" w:rsidRDefault="4A8E49AD" w14:paraId="601C4179" w14:textId="7DDD280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b w:val="0"/>
          <w:bCs w:val="0"/>
        </w:rPr>
      </w:pPr>
      <w:r w:rsidRPr="28D46B26" w:rsidR="4A8E49AD">
        <w:rPr>
          <w:b w:val="1"/>
          <w:bCs w:val="1"/>
        </w:rPr>
        <w:t>Develop</w:t>
      </w:r>
      <w:r w:rsidRPr="28D46B26" w:rsidR="7F3C81D6">
        <w:rPr>
          <w:b w:val="1"/>
          <w:bCs w:val="1"/>
        </w:rPr>
        <w:t>ing</w:t>
      </w:r>
      <w:r w:rsidRPr="28D46B26" w:rsidR="4A8E49AD">
        <w:rPr>
          <w:b w:val="1"/>
          <w:bCs w:val="1"/>
        </w:rPr>
        <w:t xml:space="preserve"> initial goals: </w:t>
      </w:r>
      <w:r w:rsidR="4A8E49AD">
        <w:rPr>
          <w:b w:val="0"/>
          <w:bCs w:val="0"/>
        </w:rPr>
        <w:t>Consider the purpose of this community. What outcomes do you want to achieve?</w:t>
      </w:r>
      <w:r w:rsidR="3BF23DB5">
        <w:rPr>
          <w:b w:val="0"/>
          <w:bCs w:val="0"/>
        </w:rPr>
        <w:t xml:space="preserve"> </w:t>
      </w:r>
      <w:r w:rsidR="79DD17F4">
        <w:rPr>
          <w:b w:val="0"/>
          <w:bCs w:val="0"/>
        </w:rPr>
        <w:t xml:space="preserve">These goals can also be refined with future input from the community. </w:t>
      </w:r>
    </w:p>
    <w:p w:rsidR="28D46B26" w:rsidP="28D46B26" w:rsidRDefault="28D46B26" w14:paraId="6EF4997E" w14:textId="78A93E3B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b w:val="0"/>
          <w:bCs w:val="0"/>
        </w:rPr>
      </w:pPr>
    </w:p>
    <w:p w:rsidR="767FAF3F" w:rsidP="28D46B26" w:rsidRDefault="767FAF3F" w14:paraId="74E6BCF8" w14:textId="15E759E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b w:val="0"/>
          <w:bCs w:val="0"/>
        </w:rPr>
      </w:pPr>
      <w:r w:rsidRPr="28D46B26" w:rsidR="767FAF3F">
        <w:rPr>
          <w:b w:val="1"/>
          <w:bCs w:val="1"/>
        </w:rPr>
        <w:t>Select</w:t>
      </w:r>
      <w:r w:rsidRPr="28D46B26" w:rsidR="21F56AA1">
        <w:rPr>
          <w:b w:val="1"/>
          <w:bCs w:val="1"/>
        </w:rPr>
        <w:t>ing</w:t>
      </w:r>
      <w:r w:rsidRPr="28D46B26" w:rsidR="767FAF3F">
        <w:rPr>
          <w:b w:val="1"/>
          <w:bCs w:val="1"/>
        </w:rPr>
        <w:t xml:space="preserve"> a</w:t>
      </w:r>
      <w:r w:rsidRPr="28D46B26" w:rsidR="41AFF3AD">
        <w:rPr>
          <w:b w:val="1"/>
          <w:bCs w:val="1"/>
        </w:rPr>
        <w:t xml:space="preserve"> modality: </w:t>
      </w:r>
      <w:r w:rsidR="41AFF3AD">
        <w:rPr>
          <w:b w:val="0"/>
          <w:bCs w:val="0"/>
        </w:rPr>
        <w:t xml:space="preserve">Think about your participants </w:t>
      </w:r>
      <w:r w:rsidR="5307FCAB">
        <w:rPr>
          <w:b w:val="0"/>
          <w:bCs w:val="0"/>
        </w:rPr>
        <w:t xml:space="preserve">and their </w:t>
      </w:r>
      <w:r w:rsidR="37C3B1CC">
        <w:rPr>
          <w:b w:val="0"/>
          <w:bCs w:val="0"/>
        </w:rPr>
        <w:t xml:space="preserve">availability </w:t>
      </w:r>
      <w:r w:rsidR="5307FCAB">
        <w:rPr>
          <w:b w:val="0"/>
          <w:bCs w:val="0"/>
        </w:rPr>
        <w:t>constraints</w:t>
      </w:r>
      <w:r w:rsidR="21579A14">
        <w:rPr>
          <w:b w:val="0"/>
          <w:bCs w:val="0"/>
        </w:rPr>
        <w:t xml:space="preserve">. </w:t>
      </w:r>
      <w:r w:rsidR="41AFF3AD">
        <w:rPr>
          <w:b w:val="0"/>
          <w:bCs w:val="0"/>
        </w:rPr>
        <w:t>Would it be best</w:t>
      </w:r>
      <w:r w:rsidR="3E632C88">
        <w:rPr>
          <w:b w:val="0"/>
          <w:bCs w:val="0"/>
        </w:rPr>
        <w:t xml:space="preserve"> for the community</w:t>
      </w:r>
      <w:r w:rsidR="41AFF3AD">
        <w:rPr>
          <w:b w:val="0"/>
          <w:bCs w:val="0"/>
        </w:rPr>
        <w:t xml:space="preserve"> to meet virtually or onsite, alternate</w:t>
      </w:r>
      <w:r w:rsidR="43DA4475">
        <w:rPr>
          <w:b w:val="0"/>
          <w:bCs w:val="0"/>
        </w:rPr>
        <w:t xml:space="preserve"> modalities</w:t>
      </w:r>
      <w:r w:rsidR="41AFF3AD">
        <w:rPr>
          <w:b w:val="0"/>
          <w:bCs w:val="0"/>
        </w:rPr>
        <w:t>, or hold hybrid meetings?</w:t>
      </w:r>
      <w:r w:rsidR="7DDCEFFA">
        <w:rPr>
          <w:b w:val="0"/>
          <w:bCs w:val="0"/>
        </w:rPr>
        <w:t xml:space="preserve"> You c</w:t>
      </w:r>
      <w:r w:rsidR="799464E7">
        <w:rPr>
          <w:b w:val="0"/>
          <w:bCs w:val="0"/>
        </w:rPr>
        <w:t xml:space="preserve">an </w:t>
      </w:r>
      <w:r w:rsidR="7DDCEFFA">
        <w:rPr>
          <w:b w:val="0"/>
          <w:bCs w:val="0"/>
        </w:rPr>
        <w:t>also poll participants to learn about and</w:t>
      </w:r>
      <w:r w:rsidR="41C31D15">
        <w:rPr>
          <w:b w:val="0"/>
          <w:bCs w:val="0"/>
        </w:rPr>
        <w:t xml:space="preserve"> better</w:t>
      </w:r>
      <w:r w:rsidR="7DDCEFFA">
        <w:rPr>
          <w:b w:val="0"/>
          <w:bCs w:val="0"/>
        </w:rPr>
        <w:t xml:space="preserve"> </w:t>
      </w:r>
      <w:r w:rsidR="2E34F46A">
        <w:rPr>
          <w:b w:val="0"/>
          <w:bCs w:val="0"/>
        </w:rPr>
        <w:t>accommodate</w:t>
      </w:r>
      <w:r w:rsidR="7DDCEFFA">
        <w:rPr>
          <w:b w:val="0"/>
          <w:bCs w:val="0"/>
        </w:rPr>
        <w:t xml:space="preserve"> their schedules. Various tools such as Scheduling Assistant (Outlook), When2Meet, and Doodle can </w:t>
      </w:r>
      <w:r w:rsidR="34A7485E">
        <w:rPr>
          <w:b w:val="0"/>
          <w:bCs w:val="0"/>
        </w:rPr>
        <w:t>support scheduling</w:t>
      </w:r>
      <w:r w:rsidR="7DDCEFFA">
        <w:rPr>
          <w:b w:val="0"/>
          <w:bCs w:val="0"/>
        </w:rPr>
        <w:t>.</w:t>
      </w:r>
      <w:r w:rsidR="7DDCEFFA">
        <w:rPr>
          <w:b w:val="0"/>
          <w:bCs w:val="0"/>
        </w:rPr>
        <w:t xml:space="preserve"> </w:t>
      </w:r>
    </w:p>
    <w:p w:rsidR="28D46B26" w:rsidP="28D46B26" w:rsidRDefault="28D46B26" w14:paraId="064B625C" w14:textId="41E4BEC6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</w:pPr>
    </w:p>
    <w:p w:rsidR="0D71C642" w:rsidP="28D46B26" w:rsidRDefault="0D71C642" w14:paraId="7D42494B" w14:noSpellErr="1" w14:textId="766B72CB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/>
      </w:pPr>
      <w:r w:rsidRPr="36A59EF9" w:rsidR="0D71C642">
        <w:rPr>
          <w:b w:val="1"/>
          <w:bCs w:val="1"/>
        </w:rPr>
        <w:t>Solicit</w:t>
      </w:r>
      <w:r w:rsidRPr="36A59EF9" w:rsidR="2E0C04F1">
        <w:rPr>
          <w:b w:val="1"/>
          <w:bCs w:val="1"/>
        </w:rPr>
        <w:t>ing</w:t>
      </w:r>
      <w:r w:rsidRPr="36A59EF9" w:rsidR="0D71C642">
        <w:rPr>
          <w:b w:val="1"/>
          <w:bCs w:val="1"/>
        </w:rPr>
        <w:t xml:space="preserve"> interest: </w:t>
      </w:r>
      <w:r w:rsidR="0D71C642">
        <w:rPr/>
        <w:t xml:space="preserve">Working either with TIIP or independently, </w:t>
      </w:r>
      <w:bookmarkStart w:name="_Int_C0kwsywi" w:id="446845849"/>
      <w:r w:rsidR="0BC8D882">
        <w:rPr/>
        <w:t>invite</w:t>
      </w:r>
      <w:bookmarkEnd w:id="446845849"/>
      <w:r w:rsidR="0BC8D882">
        <w:rPr/>
        <w:t xml:space="preserve"> interest in </w:t>
      </w:r>
      <w:r w:rsidR="7A8C4318">
        <w:rPr/>
        <w:t>the community</w:t>
      </w:r>
      <w:r w:rsidR="07574EAA">
        <w:rPr/>
        <w:t xml:space="preserve"> </w:t>
      </w:r>
      <w:r w:rsidR="4D2226F0">
        <w:rPr/>
        <w:t>using a survey in</w:t>
      </w:r>
      <w:r w:rsidR="07574EAA">
        <w:rPr/>
        <w:t xml:space="preserve"> Google </w:t>
      </w:r>
      <w:r w:rsidR="2BFC5399">
        <w:rPr/>
        <w:t>Forms,</w:t>
      </w:r>
      <w:r w:rsidR="07574EAA">
        <w:rPr/>
        <w:t xml:space="preserve"> Microsoft Forms</w:t>
      </w:r>
      <w:r w:rsidR="5E333A3C">
        <w:rPr/>
        <w:t>, or Qualtrics (</w:t>
      </w:r>
      <w:r w:rsidR="5E333A3C">
        <w:rPr/>
        <w:t xml:space="preserve">see Rutgers IT page for </w:t>
      </w:r>
      <w:hyperlink r:id="R8d55e5bc541d4c5c">
        <w:r w:rsidRPr="36A59EF9" w:rsidR="5E333A3C">
          <w:rPr>
            <w:rStyle w:val="Hyperlink"/>
          </w:rPr>
          <w:t>guidelines for choosing the right survey tool</w:t>
        </w:r>
      </w:hyperlink>
      <w:r w:rsidR="5E333A3C">
        <w:rPr/>
        <w:t>)</w:t>
      </w:r>
      <w:r w:rsidR="07574EAA">
        <w:rPr/>
        <w:t xml:space="preserve">. </w:t>
      </w:r>
      <w:r w:rsidR="79A66933">
        <w:rPr/>
        <w:t xml:space="preserve">Have participants </w:t>
      </w:r>
      <w:bookmarkStart w:name="_Int_o99GGWmE" w:id="327852090"/>
      <w:r w:rsidR="1F35D17F">
        <w:rPr/>
        <w:t>indicate</w:t>
      </w:r>
      <w:bookmarkEnd w:id="327852090"/>
      <w:r w:rsidR="1F35D17F">
        <w:rPr/>
        <w:t xml:space="preserve"> </w:t>
      </w:r>
      <w:r w:rsidR="79A66933">
        <w:rPr/>
        <w:t>their availability</w:t>
      </w:r>
      <w:r w:rsidR="3617B896">
        <w:rPr/>
        <w:t xml:space="preserve"> to attend </w:t>
      </w:r>
      <w:r w:rsidR="3617B896">
        <w:rPr/>
        <w:t>gatherings</w:t>
      </w:r>
      <w:r w:rsidR="52FF7190">
        <w:rPr/>
        <w:t xml:space="preserve"> and topics of </w:t>
      </w:r>
      <w:bookmarkStart w:name="_Int_qsMD7Pbf" w:id="828453599"/>
      <w:r w:rsidR="52FF7190">
        <w:rPr/>
        <w:t>interest</w:t>
      </w:r>
      <w:r w:rsidR="79A66933">
        <w:rPr/>
        <w:t>.</w:t>
      </w:r>
      <w:bookmarkEnd w:id="828453599"/>
      <w:r w:rsidR="7B14A354">
        <w:rPr/>
        <w:t xml:space="preserve"> You can also</w:t>
      </w:r>
      <w:r w:rsidR="7D6CD11D">
        <w:rPr/>
        <w:t xml:space="preserve">invite </w:t>
      </w:r>
      <w:r w:rsidR="7B14A354">
        <w:rPr/>
        <w:t xml:space="preserve">them </w:t>
      </w:r>
      <w:r w:rsidR="65364479">
        <w:rPr/>
        <w:t>to choos</w:t>
      </w:r>
      <w:r w:rsidR="65364479">
        <w:rPr/>
        <w:t xml:space="preserve">e </w:t>
      </w:r>
      <w:r w:rsidR="7B14A354">
        <w:rPr/>
        <w:t>the role they would like to play in the community (</w:t>
      </w:r>
      <w:r w:rsidR="6505587D">
        <w:rPr/>
        <w:t>e.g.,</w:t>
      </w:r>
      <w:r w:rsidR="7B14A354">
        <w:rPr/>
        <w:t xml:space="preserve"> </w:t>
      </w:r>
      <w:r w:rsidR="4DA9B30A">
        <w:rPr/>
        <w:t>members</w:t>
      </w:r>
      <w:r w:rsidR="7B14A354">
        <w:rPr/>
        <w:t>, facilitator, steering committee).</w:t>
      </w:r>
      <w:r w:rsidR="79A66933">
        <w:rPr/>
        <w:t xml:space="preserve"> </w:t>
      </w:r>
      <w:r w:rsidR="2DF83256">
        <w:rPr/>
        <w:t xml:space="preserve">Consider </w:t>
      </w:r>
      <w:r w:rsidR="70D99DDC">
        <w:rPr/>
        <w:t xml:space="preserve">whether </w:t>
      </w:r>
      <w:r w:rsidR="2DF83256">
        <w:rPr/>
        <w:t>there are specific groups of faculty and staff members for whom the community may be of in</w:t>
      </w:r>
      <w:r w:rsidR="6591C383">
        <w:rPr/>
        <w:t xml:space="preserve">terest and reach out to them. </w:t>
      </w:r>
      <w:r w:rsidR="41828AFF">
        <w:rPr/>
        <w:t>TIIP can also promote the community in our newsletter and LinkedIn.</w:t>
      </w:r>
      <w:r w:rsidR="46278806">
        <w:rPr/>
        <w:t xml:space="preserve"> </w:t>
      </w:r>
      <w:r w:rsidR="109FC9C8">
        <w:rPr/>
        <w:t xml:space="preserve">You might also consider </w:t>
      </w:r>
      <w:r w:rsidR="109FC9C8">
        <w:rPr/>
        <w:t>soliciting</w:t>
      </w:r>
      <w:r w:rsidR="109FC9C8">
        <w:rPr/>
        <w:t xml:space="preserve"> interest</w:t>
      </w:r>
      <w:r w:rsidR="109FC9C8">
        <w:rPr/>
        <w:t xml:space="preserve"> at other venues such as various Rutgers conferences and symposia. </w:t>
      </w:r>
    </w:p>
    <w:p w:rsidR="28D46B26" w:rsidP="28D46B26" w:rsidRDefault="28D46B26" w14:paraId="23B01F05" w14:textId="3BB5C84C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</w:pPr>
    </w:p>
    <w:p w:rsidR="46278806" w:rsidP="28D46B26" w:rsidRDefault="46278806" w14:paraId="7D6B6D89" w14:textId="487104CB" w14:noSpellErr="1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b w:val="0"/>
          <w:bCs w:val="0"/>
        </w:rPr>
      </w:pPr>
      <w:r w:rsidRPr="36A59EF9" w:rsidR="46278806">
        <w:rPr>
          <w:b w:val="1"/>
          <w:bCs w:val="1"/>
        </w:rPr>
        <w:t>Schedul</w:t>
      </w:r>
      <w:r w:rsidRPr="36A59EF9" w:rsidR="303002C6">
        <w:rPr>
          <w:b w:val="1"/>
          <w:bCs w:val="1"/>
        </w:rPr>
        <w:t>ing</w:t>
      </w:r>
      <w:r w:rsidRPr="36A59EF9" w:rsidR="46278806">
        <w:rPr>
          <w:b w:val="1"/>
          <w:bCs w:val="1"/>
        </w:rPr>
        <w:t xml:space="preserve"> </w:t>
      </w:r>
      <w:r w:rsidRPr="36A59EF9" w:rsidR="5E9C7DC3">
        <w:rPr>
          <w:b w:val="1"/>
          <w:bCs w:val="1"/>
        </w:rPr>
        <w:t>gatherin</w:t>
      </w:r>
      <w:r w:rsidRPr="36A59EF9" w:rsidR="6427E857">
        <w:rPr>
          <w:b w:val="1"/>
          <w:bCs w:val="1"/>
        </w:rPr>
        <w:t>gs</w:t>
      </w:r>
      <w:r w:rsidRPr="36A59EF9" w:rsidR="2913D3C9">
        <w:rPr>
          <w:b w:val="1"/>
          <w:bCs w:val="1"/>
        </w:rPr>
        <w:t xml:space="preserve"> and room locations as applicable</w:t>
      </w:r>
      <w:r w:rsidRPr="36A59EF9" w:rsidR="6427E857">
        <w:rPr>
          <w:b w:val="1"/>
          <w:bCs w:val="1"/>
        </w:rPr>
        <w:t xml:space="preserve">: </w:t>
      </w:r>
      <w:r w:rsidR="5EF20FE7">
        <w:rPr>
          <w:b w:val="0"/>
          <w:bCs w:val="0"/>
        </w:rPr>
        <w:t xml:space="preserve">Schedule regular meetings. For some communities of </w:t>
      </w:r>
      <w:r w:rsidR="5645DD58">
        <w:rPr>
          <w:b w:val="0"/>
          <w:bCs w:val="0"/>
        </w:rPr>
        <w:t>practice,</w:t>
      </w:r>
      <w:r w:rsidR="5EF20FE7">
        <w:rPr>
          <w:b w:val="0"/>
          <w:bCs w:val="0"/>
        </w:rPr>
        <w:t xml:space="preserve"> a monthly cadence might </w:t>
      </w:r>
      <w:r w:rsidR="4AF486C2">
        <w:rPr>
          <w:b w:val="0"/>
          <w:bCs w:val="0"/>
        </w:rPr>
        <w:t>be the most suitable</w:t>
      </w:r>
      <w:r w:rsidR="416337C8">
        <w:rPr>
          <w:b w:val="0"/>
          <w:bCs w:val="0"/>
        </w:rPr>
        <w:t>;</w:t>
      </w:r>
      <w:r w:rsidR="5EF20FE7">
        <w:rPr>
          <w:b w:val="0"/>
          <w:bCs w:val="0"/>
        </w:rPr>
        <w:t xml:space="preserve"> for others</w:t>
      </w:r>
      <w:r w:rsidR="331D656A">
        <w:rPr>
          <w:b w:val="0"/>
          <w:bCs w:val="0"/>
        </w:rPr>
        <w:t>,</w:t>
      </w:r>
      <w:r w:rsidR="5EF20FE7">
        <w:rPr>
          <w:b w:val="0"/>
          <w:bCs w:val="0"/>
        </w:rPr>
        <w:t xml:space="preserve"> twice a semester might</w:t>
      </w:r>
      <w:r w:rsidR="4AD867BF">
        <w:rPr>
          <w:b w:val="0"/>
          <w:bCs w:val="0"/>
        </w:rPr>
        <w:t xml:space="preserve"> be sufficient. </w:t>
      </w:r>
      <w:r w:rsidR="79F25635">
        <w:rPr>
          <w:b w:val="0"/>
          <w:bCs w:val="0"/>
        </w:rPr>
        <w:t xml:space="preserve">You can also </w:t>
      </w:r>
      <w:r w:rsidR="3437786F">
        <w:rPr>
          <w:b w:val="0"/>
          <w:bCs w:val="0"/>
        </w:rPr>
        <w:t>decide</w:t>
      </w:r>
      <w:r w:rsidR="79F25635">
        <w:rPr>
          <w:b w:val="0"/>
          <w:bCs w:val="0"/>
        </w:rPr>
        <w:t xml:space="preserve"> the meeting cadence at </w:t>
      </w:r>
      <w:r w:rsidR="79F25635">
        <w:rPr>
          <w:b w:val="0"/>
          <w:bCs w:val="0"/>
        </w:rPr>
        <w:t>an initial</w:t>
      </w:r>
      <w:r w:rsidR="79F25635">
        <w:rPr>
          <w:b w:val="0"/>
          <w:bCs w:val="0"/>
        </w:rPr>
        <w:t xml:space="preserve"> kickoff meeting.</w:t>
      </w:r>
      <w:r w:rsidR="51CE2F8D">
        <w:rPr>
          <w:b w:val="0"/>
          <w:bCs w:val="0"/>
        </w:rPr>
        <w:t xml:space="preserve"> </w:t>
      </w:r>
      <w:r w:rsidR="70C7F5E8">
        <w:rPr>
          <w:b w:val="0"/>
          <w:bCs w:val="0"/>
        </w:rPr>
        <w:t xml:space="preserve">If you need </w:t>
      </w:r>
      <w:r w:rsidR="70C7F5E8">
        <w:rPr>
          <w:b w:val="0"/>
          <w:bCs w:val="0"/>
        </w:rPr>
        <w:t>assistance</w:t>
      </w:r>
      <w:r w:rsidR="70C7F5E8">
        <w:rPr>
          <w:b w:val="0"/>
          <w:bCs w:val="0"/>
        </w:rPr>
        <w:t xml:space="preserve"> finding a space to meet, feel free to contact </w:t>
      </w:r>
      <w:hyperlink r:id="R50b1f592a711406a">
        <w:r w:rsidRPr="36A59EF9" w:rsidR="70C7F5E8">
          <w:rPr>
            <w:rStyle w:val="Hyperlink"/>
            <w:b w:val="0"/>
            <w:bCs w:val="0"/>
          </w:rPr>
          <w:t>TeachingInstitute@Rutgers.edu</w:t>
        </w:r>
      </w:hyperlink>
      <w:r w:rsidR="70C7F5E8">
        <w:rPr>
          <w:b w:val="0"/>
          <w:bCs w:val="0"/>
        </w:rPr>
        <w:t xml:space="preserve"> and we can brainstorm with you. </w:t>
      </w:r>
    </w:p>
    <w:p w:rsidR="5EF20FE7" w:rsidP="28D46B26" w:rsidRDefault="5EF20FE7" w14:paraId="29F5FCE5" w14:textId="5762A7CE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b w:val="0"/>
          <w:bCs w:val="0"/>
        </w:rPr>
      </w:pPr>
      <w:r w:rsidR="5EF20FE7">
        <w:rPr>
          <w:b w:val="0"/>
          <w:bCs w:val="0"/>
        </w:rPr>
        <w:t xml:space="preserve"> </w:t>
      </w:r>
    </w:p>
    <w:p w:rsidR="5EF20FE7" w:rsidP="28D46B26" w:rsidRDefault="5EF20FE7" w14:paraId="6921FD94" w14:noSpellErr="1" w14:textId="1C6A1D48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b w:val="0"/>
          <w:bCs w:val="0"/>
        </w:rPr>
      </w:pPr>
      <w:r w:rsidRPr="5C77AE93" w:rsidR="5EF20FE7">
        <w:rPr>
          <w:b w:val="1"/>
          <w:bCs w:val="1"/>
        </w:rPr>
        <w:t>Creat</w:t>
      </w:r>
      <w:r w:rsidRPr="5C77AE93" w:rsidR="17603BDD">
        <w:rPr>
          <w:b w:val="1"/>
          <w:bCs w:val="1"/>
        </w:rPr>
        <w:t>ing</w:t>
      </w:r>
      <w:r w:rsidRPr="5C77AE93" w:rsidR="5EF20FE7">
        <w:rPr>
          <w:b w:val="1"/>
          <w:bCs w:val="1"/>
        </w:rPr>
        <w:t xml:space="preserve"> a Canvas site:</w:t>
      </w:r>
      <w:r w:rsidR="5EF20FE7">
        <w:rPr>
          <w:b w:val="0"/>
          <w:bCs w:val="0"/>
        </w:rPr>
        <w:t xml:space="preserve"> We recommend that you create a </w:t>
      </w:r>
      <w:r w:rsidR="1AEAD56C">
        <w:rPr>
          <w:b w:val="0"/>
          <w:bCs w:val="0"/>
        </w:rPr>
        <w:t xml:space="preserve">Canvas </w:t>
      </w:r>
      <w:r w:rsidR="5EF20FE7">
        <w:rPr>
          <w:b w:val="0"/>
          <w:bCs w:val="0"/>
        </w:rPr>
        <w:t>site where you can share resources and post announcements about your community</w:t>
      </w:r>
      <w:r w:rsidR="704E26A1">
        <w:rPr>
          <w:b w:val="0"/>
          <w:bCs w:val="0"/>
        </w:rPr>
        <w:t xml:space="preserve"> and add relevant information</w:t>
      </w:r>
      <w:r w:rsidR="5EF20FE7">
        <w:rPr>
          <w:b w:val="0"/>
          <w:bCs w:val="0"/>
        </w:rPr>
        <w:t xml:space="preserve">. </w:t>
      </w:r>
      <w:r w:rsidR="6C9F481A">
        <w:rPr>
          <w:b w:val="0"/>
          <w:bCs w:val="0"/>
        </w:rPr>
        <w:t xml:space="preserve">You can request a </w:t>
      </w:r>
      <w:r w:rsidR="51440265">
        <w:rPr>
          <w:b w:val="0"/>
          <w:bCs w:val="0"/>
        </w:rPr>
        <w:t xml:space="preserve">free </w:t>
      </w:r>
      <w:r w:rsidR="6C9F481A">
        <w:rPr>
          <w:b w:val="0"/>
          <w:bCs w:val="0"/>
        </w:rPr>
        <w:t xml:space="preserve">course site through IT </w:t>
      </w:r>
      <w:hyperlink r:id="R99807f51cd3840f0">
        <w:r w:rsidRPr="5C77AE93" w:rsidR="6C9F481A">
          <w:rPr>
            <w:rStyle w:val="Hyperlink"/>
            <w:b w:val="0"/>
            <w:bCs w:val="0"/>
          </w:rPr>
          <w:t>here</w:t>
        </w:r>
      </w:hyperlink>
      <w:r w:rsidR="6C9F481A">
        <w:rPr>
          <w:b w:val="0"/>
          <w:bCs w:val="0"/>
        </w:rPr>
        <w:t xml:space="preserve">. </w:t>
      </w:r>
      <w:r w:rsidR="408ECF32">
        <w:rPr>
          <w:b w:val="0"/>
          <w:bCs w:val="0"/>
        </w:rPr>
        <w:t xml:space="preserve">Canvas also has the </w:t>
      </w:r>
      <w:r w:rsidR="408ECF32">
        <w:rPr>
          <w:b w:val="0"/>
          <w:bCs w:val="0"/>
        </w:rPr>
        <w:t>option</w:t>
      </w:r>
      <w:r w:rsidR="408ECF32">
        <w:rPr>
          <w:b w:val="0"/>
          <w:bCs w:val="0"/>
        </w:rPr>
        <w:t xml:space="preserve"> available for participants to opt into the site. </w:t>
      </w:r>
    </w:p>
    <w:p w:rsidR="43B3EF56" w:rsidP="28D46B26" w:rsidRDefault="43B3EF56" w14:paraId="47F96A2B" w14:textId="483DFE67">
      <w:pPr>
        <w:pStyle w:val="Heading1"/>
      </w:pPr>
      <w:r w:rsidR="43B3EF56">
        <w:rPr/>
        <w:t xml:space="preserve">Ongoing Support </w:t>
      </w:r>
    </w:p>
    <w:p w:rsidR="14888E05" w:rsidP="28D46B26" w:rsidRDefault="14888E05" w14:paraId="0670DE63" w14:textId="2EBF0268" w14:noSpellErr="1">
      <w:pPr>
        <w:pStyle w:val="Normal"/>
      </w:pPr>
      <w:r w:rsidR="14888E05">
        <w:rPr/>
        <w:t xml:space="preserve">We are happy to </w:t>
      </w:r>
      <w:r w:rsidR="14888E05">
        <w:rPr/>
        <w:t>provide</w:t>
      </w:r>
      <w:r w:rsidR="14888E05">
        <w:rPr/>
        <w:t xml:space="preserve"> </w:t>
      </w:r>
      <w:r w:rsidR="14888E05">
        <w:rPr/>
        <w:t>ongoing guidance</w:t>
      </w:r>
      <w:r w:rsidR="14888E05">
        <w:rPr/>
        <w:t xml:space="preserve"> for communities of practice </w:t>
      </w:r>
      <w:r w:rsidR="51852D95">
        <w:rPr/>
        <w:t>(</w:t>
      </w:r>
      <w:r w:rsidR="7C7556FA">
        <w:rPr/>
        <w:t>e.g.,</w:t>
      </w:r>
      <w:r w:rsidR="51852D95">
        <w:rPr/>
        <w:t xml:space="preserve"> refining goals a</w:t>
      </w:r>
      <w:r w:rsidR="10A3689E">
        <w:rPr/>
        <w:t>fter</w:t>
      </w:r>
      <w:r w:rsidR="51852D95">
        <w:rPr/>
        <w:t xml:space="preserve"> the community </w:t>
      </w:r>
      <w:r w:rsidR="08C084E8">
        <w:rPr/>
        <w:t>form</w:t>
      </w:r>
      <w:r w:rsidR="51852D95">
        <w:rPr/>
        <w:t>s,</w:t>
      </w:r>
      <w:r w:rsidR="46188299">
        <w:rPr/>
        <w:t xml:space="preserve"> brainstorming next steps for topics</w:t>
      </w:r>
      <w:r w:rsidR="424A7E55">
        <w:rPr/>
        <w:t xml:space="preserve"> and gatherings</w:t>
      </w:r>
      <w:r w:rsidR="46188299">
        <w:rPr/>
        <w:t>,</w:t>
      </w:r>
      <w:r w:rsidR="60D133BB">
        <w:rPr/>
        <w:t xml:space="preserve"> and</w:t>
      </w:r>
      <w:r w:rsidR="46188299">
        <w:rPr/>
        <w:t xml:space="preserve"> </w:t>
      </w:r>
      <w:r w:rsidR="13A39B7E">
        <w:rPr/>
        <w:t xml:space="preserve">giving advice on </w:t>
      </w:r>
      <w:r w:rsidR="65A72D74">
        <w:rPr/>
        <w:t>assessment</w:t>
      </w:r>
      <w:r w:rsidR="13A39B7E">
        <w:rPr/>
        <w:t xml:space="preserve"> </w:t>
      </w:r>
      <w:r w:rsidR="13A39B7E">
        <w:rPr/>
        <w:t>to inform future efforts</w:t>
      </w:r>
      <w:r w:rsidR="0B8E1841">
        <w:rPr/>
        <w:t>)</w:t>
      </w:r>
      <w:r w:rsidR="51852D95">
        <w:rPr/>
        <w:t xml:space="preserve"> </w:t>
      </w:r>
      <w:r w:rsidR="14888E05">
        <w:rPr/>
        <w:t xml:space="preserve">to encourage their </w:t>
      </w:r>
      <w:r w:rsidR="20FDD9C7">
        <w:rPr/>
        <w:t xml:space="preserve">success. Just reach out to </w:t>
      </w:r>
      <w:hyperlink r:id="Ra19abf44ca3645dc">
        <w:r w:rsidRPr="36A59EF9" w:rsidR="20FDD9C7">
          <w:rPr>
            <w:rStyle w:val="Hyperlink"/>
          </w:rPr>
          <w:t>TeachingInstitute</w:t>
        </w:r>
        <w:r w:rsidRPr="36A59EF9" w:rsidR="20FDD9C7">
          <w:rPr>
            <w:rStyle w:val="Hyperlink"/>
          </w:rPr>
          <w:t>@Rutgers.edu</w:t>
        </w:r>
      </w:hyperlink>
      <w:r w:rsidR="20FDD9C7">
        <w:rPr/>
        <w:t>.</w:t>
      </w:r>
    </w:p>
    <w:p w:rsidR="20FDD9C7" w:rsidP="28D46B26" w:rsidRDefault="20FDD9C7" w14:paraId="0B701DDF" w14:textId="23300F63">
      <w:pPr>
        <w:pStyle w:val="Heading1"/>
        <w:bidi w:val="0"/>
      </w:pPr>
      <w:r w:rsidR="20FDD9C7">
        <w:rPr/>
        <w:t>Additional Opportunit</w:t>
      </w:r>
      <w:r w:rsidR="73A5A930">
        <w:rPr/>
        <w:t>y</w:t>
      </w:r>
    </w:p>
    <w:p w:rsidR="20FDD9C7" w:rsidP="28D46B26" w:rsidRDefault="20FDD9C7" w14:paraId="569BDD68" w14:noSpellErr="1" w14:textId="09B2D9B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348EB7E">
        <w:rPr/>
        <w:t xml:space="preserve">Rutgers </w:t>
      </w:r>
      <w:r w:rsidR="20FDD9C7">
        <w:rPr/>
        <w:t xml:space="preserve">University Equity &amp; Inclusion. Faculty-Led Affinity Networks. </w:t>
      </w:r>
      <w:hyperlink r:id="R55ed6b13c3734b38">
        <w:r w:rsidRPr="5C77AE93" w:rsidR="20FDD9C7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https://diversity.rutgers.edu/fans</w:t>
        </w:r>
      </w:hyperlink>
    </w:p>
    <w:p w:rsidR="5C77AE93" w:rsidP="5C77AE93" w:rsidRDefault="5C77AE93" w14:paraId="59B430EF" w14:textId="40D1D21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FB2BC7A" w:rsidP="5C77AE93" w:rsidRDefault="0FB2BC7A" w14:paraId="6B8669A4" w14:textId="2BF1662D">
      <w:pPr>
        <w:pStyle w:val="Heading1"/>
        <w:bidi w:val="0"/>
      </w:pPr>
      <w:r w:rsidRPr="5C77AE93" w:rsidR="0FB2BC7A">
        <w:rPr>
          <w:noProof w:val="0"/>
          <w:lang w:val="en-US"/>
        </w:rPr>
        <w:t xml:space="preserve">References </w:t>
      </w:r>
    </w:p>
    <w:p w:rsidR="50F4903B" w:rsidP="5C77AE93" w:rsidRDefault="50F4903B" w14:paraId="413ECC42" w14:textId="67CF8CCD">
      <w:pPr>
        <w:pStyle w:val="Normal"/>
        <w:bidi w:val="0"/>
        <w:rPr>
          <w:rFonts w:ascii="Aptos" w:hAnsi="Aptos" w:eastAsia="Aptos" w:cs="Aptos" w:asciiTheme="minorAscii" w:hAnsiTheme="minorAscii" w:eastAsiaTheme="minorAscii" w:cstheme="minorAscii"/>
          <w:noProof w:val="0"/>
          <w:color w:val="222222"/>
          <w:sz w:val="24"/>
          <w:szCs w:val="24"/>
          <w:lang w:val="en-US"/>
        </w:rPr>
      </w:pPr>
      <w:r w:rsidRPr="5C77AE93" w:rsidR="50F4903B">
        <w:rPr>
          <w:rFonts w:ascii="Aptos" w:hAnsi="Aptos" w:eastAsia="Aptos" w:cs="Aptos" w:asciiTheme="minorAscii" w:hAnsiTheme="minorAscii" w:eastAsiaTheme="minorAscii" w:cstheme="minorAscii"/>
          <w:noProof w:val="0"/>
          <w:color w:val="222222"/>
          <w:sz w:val="24"/>
          <w:szCs w:val="24"/>
          <w:lang w:val="en-US"/>
        </w:rPr>
        <w:t xml:space="preserve">Cox, M. D. (2004). Introduction to faculty learning communities. </w:t>
      </w:r>
      <w:r w:rsidRPr="5C77AE93" w:rsidR="50F4903B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color w:val="222222"/>
          <w:sz w:val="24"/>
          <w:szCs w:val="24"/>
          <w:lang w:val="en-US"/>
        </w:rPr>
        <w:t>New directions for teaching and learning</w:t>
      </w:r>
      <w:r w:rsidRPr="5C77AE93" w:rsidR="50F4903B">
        <w:rPr>
          <w:rFonts w:ascii="Aptos" w:hAnsi="Aptos" w:eastAsia="Aptos" w:cs="Aptos" w:asciiTheme="minorAscii" w:hAnsiTheme="minorAscii" w:eastAsiaTheme="minorAscii" w:cstheme="minorAscii"/>
          <w:noProof w:val="0"/>
          <w:color w:val="222222"/>
          <w:sz w:val="24"/>
          <w:szCs w:val="24"/>
          <w:lang w:val="en-US"/>
        </w:rPr>
        <w:t xml:space="preserve">, </w:t>
      </w:r>
      <w:r w:rsidRPr="5C77AE93" w:rsidR="50F4903B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color w:val="222222"/>
          <w:sz w:val="24"/>
          <w:szCs w:val="24"/>
          <w:lang w:val="en-US"/>
        </w:rPr>
        <w:t>2004</w:t>
      </w:r>
      <w:r w:rsidRPr="5C77AE93" w:rsidR="50F4903B">
        <w:rPr>
          <w:rFonts w:ascii="Aptos" w:hAnsi="Aptos" w:eastAsia="Aptos" w:cs="Aptos" w:asciiTheme="minorAscii" w:hAnsiTheme="minorAscii" w:eastAsiaTheme="minorAscii" w:cstheme="minorAscii"/>
          <w:noProof w:val="0"/>
          <w:color w:val="222222"/>
          <w:sz w:val="24"/>
          <w:szCs w:val="24"/>
          <w:lang w:val="en-US"/>
        </w:rPr>
        <w:t>(97), 5-23.</w:t>
      </w:r>
    </w:p>
    <w:p w:rsidR="0FB2BC7A" w:rsidP="5C77AE93" w:rsidRDefault="0FB2BC7A" w14:paraId="5CAB4627" w14:textId="640E84B3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color w:val="222222"/>
          <w:sz w:val="24"/>
          <w:szCs w:val="24"/>
          <w:lang w:val="en-US"/>
        </w:rPr>
      </w:pPr>
      <w:r w:rsidRPr="5C77AE93" w:rsidR="0FB2BC7A">
        <w:rPr>
          <w:rFonts w:ascii="Aptos" w:hAnsi="Aptos" w:eastAsia="Aptos" w:cs="Aptos" w:asciiTheme="minorAscii" w:hAnsiTheme="minorAscii" w:eastAsiaTheme="minorAscii" w:cstheme="minorAscii"/>
          <w:noProof w:val="0"/>
          <w:color w:val="222222"/>
          <w:sz w:val="24"/>
          <w:szCs w:val="24"/>
          <w:lang w:val="en-US"/>
        </w:rPr>
        <w:t xml:space="preserve">Wenger, E., McDermott, R. A., &amp; Snyder, W. (2002). </w:t>
      </w:r>
      <w:r w:rsidRPr="5C77AE93" w:rsidR="0FB2BC7A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color w:val="222222"/>
          <w:sz w:val="24"/>
          <w:szCs w:val="24"/>
          <w:lang w:val="en-US"/>
        </w:rPr>
        <w:t>Cultivating communities of practice: A guide to managing knowledge</w:t>
      </w:r>
      <w:r w:rsidRPr="5C77AE93" w:rsidR="0FB2BC7A">
        <w:rPr>
          <w:rFonts w:ascii="Aptos" w:hAnsi="Aptos" w:eastAsia="Aptos" w:cs="Aptos" w:asciiTheme="minorAscii" w:hAnsiTheme="minorAscii" w:eastAsiaTheme="minorAscii" w:cstheme="minorAscii"/>
          <w:noProof w:val="0"/>
          <w:color w:val="222222"/>
          <w:sz w:val="24"/>
          <w:szCs w:val="24"/>
          <w:lang w:val="en-US"/>
        </w:rPr>
        <w:t xml:space="preserve">. Harvard </w:t>
      </w:r>
      <w:r w:rsidRPr="5C77AE93" w:rsidR="204116E3">
        <w:rPr>
          <w:rFonts w:ascii="Aptos" w:hAnsi="Aptos" w:eastAsia="Aptos" w:cs="Aptos" w:asciiTheme="minorAscii" w:hAnsiTheme="minorAscii" w:eastAsiaTheme="minorAscii" w:cstheme="minorAscii"/>
          <w:noProof w:val="0"/>
          <w:color w:val="222222"/>
          <w:sz w:val="24"/>
          <w:szCs w:val="24"/>
          <w:lang w:val="en-US"/>
        </w:rPr>
        <w:t>Business Press</w:t>
      </w:r>
      <w:r w:rsidRPr="5C77AE93" w:rsidR="0FB2BC7A">
        <w:rPr>
          <w:rFonts w:ascii="Aptos" w:hAnsi="Aptos" w:eastAsia="Aptos" w:cs="Aptos" w:asciiTheme="minorAscii" w:hAnsiTheme="minorAscii" w:eastAsiaTheme="minorAscii" w:cstheme="minorAscii"/>
          <w:noProof w:val="0"/>
          <w:color w:val="222222"/>
          <w:sz w:val="24"/>
          <w:szCs w:val="24"/>
          <w:lang w:val="en-US"/>
        </w:rPr>
        <w:t>.</w:t>
      </w:r>
    </w:p>
    <w:p w:rsidR="28D46B26" w:rsidP="28D46B26" w:rsidRDefault="28D46B26" w14:paraId="3EAFF10C" w14:textId="0F6FCC9C">
      <w:pPr>
        <w:pStyle w:val="Normal"/>
      </w:pPr>
    </w:p>
    <w:p w:rsidR="7FCAE5A6" w:rsidRDefault="7FCAE5A6" w14:paraId="4848715B" w14:textId="03AFCFAE"/>
    <w:p w:rsidR="7FCAE5A6" w:rsidRDefault="7FCAE5A6" w14:paraId="427184DA" w14:textId="0F0B09B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C0kwsywi" int2:invalidationBookmarkName="" int2:hashCode="9SvESjQ0DL9MGq" int2:id="kK8HEPNO">
      <int2:state int2:type="gram" int2:value="Rejected"/>
    </int2:bookmark>
    <int2:bookmark int2:bookmarkName="_Int_WHxez3Xb" int2:invalidationBookmarkName="" int2:hashCode="SmAmyk374984jm" int2:id="iWaFtmRX">
      <int2:state int2:type="gram" int2:value="Rejected"/>
    </int2:bookmark>
    <int2:bookmark int2:bookmarkName="_Int_qsMD7Pbf" int2:invalidationBookmarkName="" int2:hashCode="YPq6G93MYDhML5" int2:id="nfyTHxOl">
      <int2:state int2:type="gram" int2:value="Rejected"/>
    </int2:bookmark>
    <int2:bookmark int2:bookmarkName="_Int_o99GGWmE" int2:invalidationBookmarkName="" int2:hashCode="9+2vMoLa+2CcfU" int2:id="ProgeE3W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8f1e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e465a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AA7D"/>
    <w:rsid w:val="00FBAA7D"/>
    <w:rsid w:val="01943AFF"/>
    <w:rsid w:val="01B2D263"/>
    <w:rsid w:val="01E381B1"/>
    <w:rsid w:val="0236CF20"/>
    <w:rsid w:val="028BAC15"/>
    <w:rsid w:val="02C5ACEA"/>
    <w:rsid w:val="0324DE55"/>
    <w:rsid w:val="04A6EC35"/>
    <w:rsid w:val="04BCEC19"/>
    <w:rsid w:val="0516AAF4"/>
    <w:rsid w:val="0597473D"/>
    <w:rsid w:val="06A2067B"/>
    <w:rsid w:val="07574EAA"/>
    <w:rsid w:val="08C084E8"/>
    <w:rsid w:val="09779B6C"/>
    <w:rsid w:val="0A5AA0AB"/>
    <w:rsid w:val="0B8E1841"/>
    <w:rsid w:val="0BC8D882"/>
    <w:rsid w:val="0BDA5029"/>
    <w:rsid w:val="0C55DE3D"/>
    <w:rsid w:val="0C7427E1"/>
    <w:rsid w:val="0C947BD1"/>
    <w:rsid w:val="0D2570AD"/>
    <w:rsid w:val="0D64EFC0"/>
    <w:rsid w:val="0D71C642"/>
    <w:rsid w:val="0D937B86"/>
    <w:rsid w:val="0E7ACB27"/>
    <w:rsid w:val="0F70A601"/>
    <w:rsid w:val="0FA56D4A"/>
    <w:rsid w:val="0FB2BC7A"/>
    <w:rsid w:val="0FB3929C"/>
    <w:rsid w:val="0FC9DB0D"/>
    <w:rsid w:val="109FC9C8"/>
    <w:rsid w:val="10A3689E"/>
    <w:rsid w:val="11D4A059"/>
    <w:rsid w:val="13617201"/>
    <w:rsid w:val="13A39B7E"/>
    <w:rsid w:val="147C86C1"/>
    <w:rsid w:val="14888E05"/>
    <w:rsid w:val="159F5B4D"/>
    <w:rsid w:val="164BA383"/>
    <w:rsid w:val="166981B4"/>
    <w:rsid w:val="16F940A0"/>
    <w:rsid w:val="17603BDD"/>
    <w:rsid w:val="18E7F1C6"/>
    <w:rsid w:val="18EE9D39"/>
    <w:rsid w:val="18EFA671"/>
    <w:rsid w:val="19196DF3"/>
    <w:rsid w:val="1996B857"/>
    <w:rsid w:val="19D72676"/>
    <w:rsid w:val="1AEAD56C"/>
    <w:rsid w:val="1B32C819"/>
    <w:rsid w:val="1BC99B58"/>
    <w:rsid w:val="1BDE8C28"/>
    <w:rsid w:val="1C25C88F"/>
    <w:rsid w:val="1C932B61"/>
    <w:rsid w:val="1C9F06C1"/>
    <w:rsid w:val="1D0E822B"/>
    <w:rsid w:val="1DA667C3"/>
    <w:rsid w:val="1DB36109"/>
    <w:rsid w:val="1F35D17F"/>
    <w:rsid w:val="204116E3"/>
    <w:rsid w:val="20F75581"/>
    <w:rsid w:val="20FDD9C7"/>
    <w:rsid w:val="213824DE"/>
    <w:rsid w:val="21579A14"/>
    <w:rsid w:val="21F56AA1"/>
    <w:rsid w:val="22311CA1"/>
    <w:rsid w:val="22F9A922"/>
    <w:rsid w:val="2362FD20"/>
    <w:rsid w:val="258E28F3"/>
    <w:rsid w:val="282328DC"/>
    <w:rsid w:val="2872991D"/>
    <w:rsid w:val="28D46B26"/>
    <w:rsid w:val="290A1A2E"/>
    <w:rsid w:val="2913D3C9"/>
    <w:rsid w:val="2A176355"/>
    <w:rsid w:val="2A1CCD71"/>
    <w:rsid w:val="2A33504D"/>
    <w:rsid w:val="2A79DAD6"/>
    <w:rsid w:val="2B026774"/>
    <w:rsid w:val="2BE501A6"/>
    <w:rsid w:val="2BFC5399"/>
    <w:rsid w:val="2C8C41D6"/>
    <w:rsid w:val="2DF83256"/>
    <w:rsid w:val="2E0C04F1"/>
    <w:rsid w:val="2E34F46A"/>
    <w:rsid w:val="2E68AF17"/>
    <w:rsid w:val="2FF2B0CA"/>
    <w:rsid w:val="302AE516"/>
    <w:rsid w:val="303002C6"/>
    <w:rsid w:val="304BBB1A"/>
    <w:rsid w:val="30CCC7D6"/>
    <w:rsid w:val="31099849"/>
    <w:rsid w:val="322BC182"/>
    <w:rsid w:val="331D656A"/>
    <w:rsid w:val="331DCFC1"/>
    <w:rsid w:val="3437786F"/>
    <w:rsid w:val="346D38CB"/>
    <w:rsid w:val="34A7485E"/>
    <w:rsid w:val="3617B896"/>
    <w:rsid w:val="36A59EF9"/>
    <w:rsid w:val="36DF3B65"/>
    <w:rsid w:val="37C3B1CC"/>
    <w:rsid w:val="398B9E91"/>
    <w:rsid w:val="39D0F991"/>
    <w:rsid w:val="39DF6593"/>
    <w:rsid w:val="39E540FF"/>
    <w:rsid w:val="3ABEF9A0"/>
    <w:rsid w:val="3B76E446"/>
    <w:rsid w:val="3BF23DB5"/>
    <w:rsid w:val="3D58BAF4"/>
    <w:rsid w:val="3E225206"/>
    <w:rsid w:val="3E632C88"/>
    <w:rsid w:val="3EF80B6C"/>
    <w:rsid w:val="3F9FED9C"/>
    <w:rsid w:val="401744F0"/>
    <w:rsid w:val="4036EDFA"/>
    <w:rsid w:val="408ECF32"/>
    <w:rsid w:val="416337C8"/>
    <w:rsid w:val="41828AFF"/>
    <w:rsid w:val="41AFF3AD"/>
    <w:rsid w:val="41C31D15"/>
    <w:rsid w:val="424A7E55"/>
    <w:rsid w:val="425379F2"/>
    <w:rsid w:val="42DC8085"/>
    <w:rsid w:val="43B3EF56"/>
    <w:rsid w:val="43C205A5"/>
    <w:rsid w:val="43D8A957"/>
    <w:rsid w:val="43DA4475"/>
    <w:rsid w:val="4422AA29"/>
    <w:rsid w:val="447CF07B"/>
    <w:rsid w:val="46188299"/>
    <w:rsid w:val="46278806"/>
    <w:rsid w:val="4755AE29"/>
    <w:rsid w:val="4758F82B"/>
    <w:rsid w:val="4819B71C"/>
    <w:rsid w:val="483823E5"/>
    <w:rsid w:val="49441289"/>
    <w:rsid w:val="49816C6B"/>
    <w:rsid w:val="49EF3065"/>
    <w:rsid w:val="4A8E49AD"/>
    <w:rsid w:val="4AD867BF"/>
    <w:rsid w:val="4AF486C2"/>
    <w:rsid w:val="4B445A46"/>
    <w:rsid w:val="4B992EDE"/>
    <w:rsid w:val="4CED2A7E"/>
    <w:rsid w:val="4D2226F0"/>
    <w:rsid w:val="4D28CE9B"/>
    <w:rsid w:val="4DA9B30A"/>
    <w:rsid w:val="4E3C625B"/>
    <w:rsid w:val="4E45CD38"/>
    <w:rsid w:val="4EEAF351"/>
    <w:rsid w:val="4F934B37"/>
    <w:rsid w:val="503AF675"/>
    <w:rsid w:val="50654A53"/>
    <w:rsid w:val="506FFEF6"/>
    <w:rsid w:val="507C6957"/>
    <w:rsid w:val="50AC28FB"/>
    <w:rsid w:val="50F4903B"/>
    <w:rsid w:val="51440265"/>
    <w:rsid w:val="51852D95"/>
    <w:rsid w:val="51B3EB78"/>
    <w:rsid w:val="51CE2F8D"/>
    <w:rsid w:val="52289469"/>
    <w:rsid w:val="524F5EC3"/>
    <w:rsid w:val="52510E1D"/>
    <w:rsid w:val="52FF7190"/>
    <w:rsid w:val="5307FCAB"/>
    <w:rsid w:val="538FA323"/>
    <w:rsid w:val="53CE2A17"/>
    <w:rsid w:val="547E5B85"/>
    <w:rsid w:val="54FFD874"/>
    <w:rsid w:val="5550D403"/>
    <w:rsid w:val="55F681B4"/>
    <w:rsid w:val="5645DD58"/>
    <w:rsid w:val="5755E2BA"/>
    <w:rsid w:val="57CB8CCB"/>
    <w:rsid w:val="58A17CE5"/>
    <w:rsid w:val="58CE5401"/>
    <w:rsid w:val="590D31FC"/>
    <w:rsid w:val="593041FD"/>
    <w:rsid w:val="598CD053"/>
    <w:rsid w:val="5AACEEDC"/>
    <w:rsid w:val="5AB74884"/>
    <w:rsid w:val="5AEF05C2"/>
    <w:rsid w:val="5C5A6EEA"/>
    <w:rsid w:val="5C77AE93"/>
    <w:rsid w:val="5C876C7C"/>
    <w:rsid w:val="5CB74F67"/>
    <w:rsid w:val="5E333A3C"/>
    <w:rsid w:val="5E9C7DC3"/>
    <w:rsid w:val="5EF20FE7"/>
    <w:rsid w:val="609F4E17"/>
    <w:rsid w:val="60D133BB"/>
    <w:rsid w:val="618E1468"/>
    <w:rsid w:val="61A42FA5"/>
    <w:rsid w:val="62A083C1"/>
    <w:rsid w:val="63C3E750"/>
    <w:rsid w:val="6427E857"/>
    <w:rsid w:val="6505587D"/>
    <w:rsid w:val="650CEE2A"/>
    <w:rsid w:val="65364479"/>
    <w:rsid w:val="6591C383"/>
    <w:rsid w:val="65A72D74"/>
    <w:rsid w:val="6655C6AA"/>
    <w:rsid w:val="66BEE562"/>
    <w:rsid w:val="66FF1FF8"/>
    <w:rsid w:val="671713AC"/>
    <w:rsid w:val="67303F12"/>
    <w:rsid w:val="67E3DA8F"/>
    <w:rsid w:val="6936008B"/>
    <w:rsid w:val="6950C9FD"/>
    <w:rsid w:val="6C344D47"/>
    <w:rsid w:val="6C9F481A"/>
    <w:rsid w:val="6CB7DCB7"/>
    <w:rsid w:val="6D530E4A"/>
    <w:rsid w:val="6DCA8B6D"/>
    <w:rsid w:val="6ED07469"/>
    <w:rsid w:val="6F61AED7"/>
    <w:rsid w:val="6FACD7F1"/>
    <w:rsid w:val="704E26A1"/>
    <w:rsid w:val="70B4F4F4"/>
    <w:rsid w:val="70C7F5E8"/>
    <w:rsid w:val="70CF1D56"/>
    <w:rsid w:val="70D99DDC"/>
    <w:rsid w:val="711127D0"/>
    <w:rsid w:val="7129F7DA"/>
    <w:rsid w:val="719C0DD7"/>
    <w:rsid w:val="7348EB7E"/>
    <w:rsid w:val="73A5A930"/>
    <w:rsid w:val="73FDE94E"/>
    <w:rsid w:val="754A2461"/>
    <w:rsid w:val="75CB77F4"/>
    <w:rsid w:val="767FAF3F"/>
    <w:rsid w:val="76B78CAB"/>
    <w:rsid w:val="7742446E"/>
    <w:rsid w:val="7793243B"/>
    <w:rsid w:val="783D50A5"/>
    <w:rsid w:val="7964D484"/>
    <w:rsid w:val="799464E7"/>
    <w:rsid w:val="79A66933"/>
    <w:rsid w:val="79DD17F4"/>
    <w:rsid w:val="79F25635"/>
    <w:rsid w:val="7A8C4318"/>
    <w:rsid w:val="7B14A354"/>
    <w:rsid w:val="7BFF58E6"/>
    <w:rsid w:val="7C7556FA"/>
    <w:rsid w:val="7D6CD11D"/>
    <w:rsid w:val="7DDCEFFA"/>
    <w:rsid w:val="7F3C81D6"/>
    <w:rsid w:val="7F772DF2"/>
    <w:rsid w:val="7FCAE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BAA7D"/>
  <w15:chartTrackingRefBased/>
  <w15:docId w15:val="{3D062576-B17E-4500-9214-F7EDD40406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28D46B26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28D46B2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824521805" /><Relationship Type="http://schemas.openxmlformats.org/officeDocument/2006/relationships/hyperlink" Target="mailto:TeachingInstitute@rutgers.edu" TargetMode="External" Id="R6f69d3afdf5a48ed" /><Relationship Type="http://schemas.microsoft.com/office/2020/10/relationships/intelligence" Target="intelligence2.xml" Id="R1ae2a29ffc424bf9" /><Relationship Type="http://schemas.openxmlformats.org/officeDocument/2006/relationships/numbering" Target="numbering.xml" Id="Rd52bc63d0ad84f37" /><Relationship Type="http://schemas.microsoft.com/office/2011/relationships/people" Target="people.xml" Id="Rc609cef09f954bfd" /><Relationship Type="http://schemas.microsoft.com/office/2011/relationships/commentsExtended" Target="commentsExtended.xml" Id="R195bd0df419a41b6" /><Relationship Type="http://schemas.microsoft.com/office/2016/09/relationships/commentsIds" Target="commentsIds.xml" Id="R88fb821e00eb4a90" /><Relationship Type="http://schemas.openxmlformats.org/officeDocument/2006/relationships/hyperlink" Target="https://canvas.rutgers.edu/instructors/request-a-course/" TargetMode="External" Id="R99807f51cd3840f0" /><Relationship Type="http://schemas.openxmlformats.org/officeDocument/2006/relationships/hyperlink" Target="https://diversity.rutgers.edu/fans" TargetMode="External" Id="R55ed6b13c3734b38" /><Relationship Type="http://schemas.openxmlformats.org/officeDocument/2006/relationships/hyperlink" Target="https://it.rutgers.edu/surveys-and-forms/" TargetMode="External" Id="R8d55e5bc541d4c5c" /><Relationship Type="http://schemas.openxmlformats.org/officeDocument/2006/relationships/hyperlink" Target="mailto:TeachingInstitute@Rutgers.edu" TargetMode="External" Id="R50b1f592a711406a" /><Relationship Type="http://schemas.openxmlformats.org/officeDocument/2006/relationships/hyperlink" Target="mailto:TeachingInstitute@Rutgers.edu" TargetMode="External" Id="Ra19abf44ca3645d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755D0501CAF4DB03D924DB556BEE9" ma:contentTypeVersion="13" ma:contentTypeDescription="Create a new document." ma:contentTypeScope="" ma:versionID="7d82909c22e3274a00b7a80e6f43cb57">
  <xsd:schema xmlns:xsd="http://www.w3.org/2001/XMLSchema" xmlns:xs="http://www.w3.org/2001/XMLSchema" xmlns:p="http://schemas.microsoft.com/office/2006/metadata/properties" xmlns:ns2="fd014ba9-8147-4467-8d7f-1802a60e5529" xmlns:ns3="49afeb8f-2942-437b-b3ef-3271f9d02038" targetNamespace="http://schemas.microsoft.com/office/2006/metadata/properties" ma:root="true" ma:fieldsID="5320bb326629ede6bd825ac327123e41" ns2:_="" ns3:_="">
    <xsd:import namespace="fd014ba9-8147-4467-8d7f-1802a60e5529"/>
    <xsd:import namespace="49afeb8f-2942-437b-b3ef-3271f9d02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14ba9-8147-4467-8d7f-1802a60e5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8fd182-3af3-4b45-858c-95346ee1b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feb8f-2942-437b-b3ef-3271f9d020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aa1c88-8b05-43dd-9a07-16ccea228ca2}" ma:internalName="TaxCatchAll" ma:showField="CatchAllData" ma:web="49afeb8f-2942-437b-b3ef-3271f9d02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014ba9-8147-4467-8d7f-1802a60e5529">
      <Terms xmlns="http://schemas.microsoft.com/office/infopath/2007/PartnerControls"/>
    </lcf76f155ced4ddcb4097134ff3c332f>
    <TaxCatchAll xmlns="49afeb8f-2942-437b-b3ef-3271f9d02038" xsi:nil="true"/>
  </documentManagement>
</p:properties>
</file>

<file path=customXml/itemProps1.xml><?xml version="1.0" encoding="utf-8"?>
<ds:datastoreItem xmlns:ds="http://schemas.openxmlformats.org/officeDocument/2006/customXml" ds:itemID="{F68879A9-D56A-41E8-89A8-6AC95A195E68}"/>
</file>

<file path=customXml/itemProps2.xml><?xml version="1.0" encoding="utf-8"?>
<ds:datastoreItem xmlns:ds="http://schemas.openxmlformats.org/officeDocument/2006/customXml" ds:itemID="{7DFDF7CB-B5A4-4CFA-B852-ED2398E12889}"/>
</file>

<file path=customXml/itemProps3.xml><?xml version="1.0" encoding="utf-8"?>
<ds:datastoreItem xmlns:ds="http://schemas.openxmlformats.org/officeDocument/2006/customXml" ds:itemID="{5558E979-6950-4183-A486-ECAA8851F4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Tracie Addy</dc:creator>
  <keywords/>
  <dc:description/>
  <lastModifiedBy>Tracie Addy</lastModifiedBy>
  <dcterms:created xsi:type="dcterms:W3CDTF">2025-11-06T15:36:56.0000000Z</dcterms:created>
  <dcterms:modified xsi:type="dcterms:W3CDTF">2025-11-07T19:50:13.3096014Z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0x010100510755D0501CAF4DB03D924DB556BEE9</vt:lpwstr>
  </property>
  <property fmtid="{D5CDD505-2E9C-101B-9397-08002B2CF9AE}" pid="3" name="MediaServiceImageTags">
    <vt:lpwstr/>
  </property>
</Properties>
</file>